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794A2" w14:textId="77777777" w:rsidR="00526EC0" w:rsidRDefault="00526EC0" w:rsidP="00526EC0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Załącznik </w:t>
      </w:r>
      <w:r>
        <w:rPr>
          <w:rFonts w:eastAsia="Calibri"/>
          <w:color w:val="000000"/>
          <w:sz w:val="22"/>
          <w:szCs w:val="22"/>
          <w:lang w:eastAsia="en-US"/>
        </w:rPr>
        <w:t>C.81.</w:t>
      </w:r>
    </w:p>
    <w:p w14:paraId="0E1DCCB8" w14:textId="77777777" w:rsidR="00526EC0" w:rsidRDefault="00526EC0" w:rsidP="00526EC0">
      <w:pPr>
        <w:spacing w:after="200" w:line="276" w:lineRule="auto"/>
        <w:rPr>
          <w:rFonts w:eastAsia="Calibri"/>
          <w:b/>
          <w:bCs/>
          <w:color w:val="000000"/>
          <w:szCs w:val="20"/>
          <w:lang w:eastAsia="en-US"/>
        </w:rPr>
      </w:pPr>
      <w:r>
        <w:rPr>
          <w:rFonts w:eastAsia="Calibri"/>
          <w:b/>
          <w:bCs/>
          <w:color w:val="000000"/>
          <w:szCs w:val="20"/>
          <w:lang w:eastAsia="en-US"/>
        </w:rPr>
        <w:t>ERLOTINIBUM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"/>
        <w:gridCol w:w="4062"/>
        <w:gridCol w:w="1810"/>
        <w:gridCol w:w="8470"/>
      </w:tblGrid>
      <w:tr w:rsidR="00526EC0" w:rsidRPr="00526EC0" w14:paraId="2B0015E3" w14:textId="77777777" w:rsidTr="007117B4">
        <w:trPr>
          <w:trHeight w:val="117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BB3F399" w14:textId="77777777" w:rsidR="00A851D4" w:rsidRPr="00526EC0" w:rsidRDefault="00A851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6EC0">
              <w:rPr>
                <w:b/>
                <w:bCs/>
                <w:color w:val="000000"/>
                <w:sz w:val="22"/>
                <w:szCs w:val="22"/>
              </w:rPr>
              <w:t>Lp</w:t>
            </w:r>
            <w:r w:rsidR="00903FDD" w:rsidRPr="00526EC0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94FD7E" w14:textId="77777777" w:rsidR="00A851D4" w:rsidRPr="00526EC0" w:rsidRDefault="00A851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6EC0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CD7423" w14:textId="77777777" w:rsidR="00A851D4" w:rsidRPr="00526EC0" w:rsidRDefault="00A851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6EC0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ED2062" w14:textId="77777777" w:rsidR="00A851D4" w:rsidRPr="00526EC0" w:rsidRDefault="00A851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6EC0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7117B4" w:rsidRPr="00F446AD" w14:paraId="11C8CE96" w14:textId="77777777" w:rsidTr="00881069">
        <w:trPr>
          <w:trHeight w:val="6576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677A" w14:textId="77777777" w:rsidR="00A851D4" w:rsidRPr="00F446AD" w:rsidRDefault="00A851D4" w:rsidP="00A9224C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8E22" w14:textId="17D4868B" w:rsidR="00A851D4" w:rsidRPr="00F446AD" w:rsidRDefault="00526EC0" w:rsidP="00A922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ERLOTINIBUM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8DE2" w14:textId="77777777" w:rsidR="00A851D4" w:rsidRPr="00F446AD" w:rsidRDefault="00903FDD" w:rsidP="00A9224C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</w:t>
            </w:r>
          </w:p>
        </w:tc>
        <w:tc>
          <w:tcPr>
            <w:tcW w:w="2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07A6" w14:textId="063CAF2A" w:rsidR="00A851D4" w:rsidRPr="004702A3" w:rsidRDefault="00903FDD" w:rsidP="00881069">
            <w:pPr>
              <w:spacing w:after="80"/>
              <w:jc w:val="both"/>
              <w:rPr>
                <w:color w:val="000000" w:themeColor="text1"/>
                <w:sz w:val="18"/>
                <w:szCs w:val="18"/>
              </w:rPr>
            </w:pPr>
            <w:r w:rsidRPr="004702A3">
              <w:rPr>
                <w:color w:val="000000" w:themeColor="text1"/>
                <w:sz w:val="18"/>
                <w:szCs w:val="18"/>
              </w:rPr>
              <w:t>NOWOTWÓR ZŁOŚLIWY OSKRZELA I PŁUCA</w:t>
            </w:r>
          </w:p>
          <w:p w14:paraId="09506BCE" w14:textId="77777777" w:rsidR="00A9224C" w:rsidRPr="004702A3" w:rsidRDefault="00A9224C" w:rsidP="00881069">
            <w:pPr>
              <w:autoSpaceDE w:val="0"/>
              <w:autoSpaceDN w:val="0"/>
              <w:adjustRightInd w:val="0"/>
              <w:spacing w:after="80"/>
              <w:jc w:val="both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 xml:space="preserve">W leczeniu dorosłych pacjentów chorych na </w:t>
            </w:r>
            <w:proofErr w:type="spellStart"/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 xml:space="preserve"> raka płuca:</w:t>
            </w:r>
          </w:p>
          <w:p w14:paraId="6D447521" w14:textId="0856328B" w:rsidR="00A9224C" w:rsidRPr="004702A3" w:rsidRDefault="00A9224C" w:rsidP="00881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w terapii pierwszej linii</w:t>
            </w:r>
            <w:r w:rsidR="00206D34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leczenia</w:t>
            </w: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(chorzy wcześniej nie poddawani systemowemu leczeniu z powodu zaawansowanego nowotworu) albo drugiej linii leczenia (chorzy z niepowodzeniem wcześniejszej chemioterapii wielolekowej z udziałem pochodnych platyny lub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stosowanej z powodu zaawansowanego nowotworu),</w:t>
            </w:r>
          </w:p>
          <w:p w14:paraId="764E7523" w14:textId="77777777" w:rsidR="00A9224C" w:rsidRPr="004702A3" w:rsidRDefault="00A9224C" w:rsidP="00881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z rozpoznaniem histologicznym lub cytologicznym raka gruczołowego lub raka wielkokomórkowego, lub raka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z przewagą raka gruczołowego lub raka wielkokomórkowego, lub raka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bez ustalonego podtypu (ang. not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otherwise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specified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- NOS),</w:t>
            </w:r>
          </w:p>
          <w:p w14:paraId="3AF0AD30" w14:textId="77777777" w:rsidR="00A9224C" w:rsidRPr="004702A3" w:rsidRDefault="00A9224C" w:rsidP="00881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z obecnością mutacji aktywującej w genie EGFR kodującym receptor naskórkowego czynnika wzrostu (ang.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epidermal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growth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factor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receptor - EGFR) potwierdzoną z wykorzystaniem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zwalidowanego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testu wykonywanego w laboratorium posiadającym aktualny certyfikat europejskiego programu kontroli jakości dla danego testu,</w:t>
            </w:r>
          </w:p>
          <w:p w14:paraId="3E30CC73" w14:textId="6A948B10" w:rsidR="00A9224C" w:rsidRPr="004702A3" w:rsidRDefault="00A9224C" w:rsidP="00881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z zaawansowaniem miejscowym (stopień III - z wyjątkiem sytuacji, w których możliwe jest zastosowanie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, radioterapii lub chirurgicznego leczenia) lub uogólnieni</w:t>
            </w:r>
            <w:r w:rsidR="00FC28A6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em</w:t>
            </w: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(stopień IV)</w:t>
            </w:r>
            <w:r w:rsidR="00206D34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,</w:t>
            </w:r>
          </w:p>
          <w:p w14:paraId="14616A9F" w14:textId="2F2E6935" w:rsidR="004702A3" w:rsidRPr="004702A3" w:rsidRDefault="00197E88" w:rsidP="00881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z obecnością zmian możliwych do zmierzenia w celu przeprowadzenia obiektywnej oceny odpowiedzi w badaniach obrazowych z zastosowaniem kryteriów oceny systemu RECIST 1.1 (ang.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response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evaluation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criteria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in solid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tumours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) lub obecność policzalnych zmian niemierzalnych</w:t>
            </w:r>
            <w:r w:rsidR="007B23F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(w</w:t>
            </w:r>
            <w:r w:rsidR="004702A3" w:rsidRPr="004702A3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celu monitorowania skuteczności leczenia wykonuje się, co 3 miesiące badanie TK klatki piersiowej z objęciem nadbrzusza oraz inne badania obrazowe konieczne do oceny zmian według kryteriów RECIST 1.1. w zależności od sytuacji klinicznej</w:t>
            </w:r>
            <w:r w:rsidR="007B23F5">
              <w:rPr>
                <w:rFonts w:ascii="Times New Roman" w:hAnsi="Times New Roman"/>
                <w:i/>
                <w:iCs/>
                <w:sz w:val="18"/>
                <w:szCs w:val="18"/>
              </w:rPr>
              <w:t>),</w:t>
            </w:r>
          </w:p>
          <w:p w14:paraId="6887A399" w14:textId="5334FA54" w:rsidR="00197E88" w:rsidRPr="004702A3" w:rsidRDefault="00197E88" w:rsidP="00881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z nieobecnością przerzutów w ośrodkowym układzie nerwowym lub cech progresji przerzutów w ośrodkowym układzie nerwowym u chorych po wcześniejszym leczeniu miejscowym (leczenie chirurgiczne lub radioterapia) oraz</w:t>
            </w:r>
            <w:r w:rsidR="00272D38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nieobecnoś</w:t>
            </w:r>
            <w:r w:rsidR="00272D38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cią</w:t>
            </w: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istotnych klinicznie objawów neurologicznych i potrzeby zwiększania dawki </w:t>
            </w:r>
            <w:proofErr w:type="spellStart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glikokortykosteroidów</w:t>
            </w:r>
            <w:proofErr w:type="spellEnd"/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w ciągu ostatniego miesiąca przed</w:t>
            </w:r>
            <w:r w:rsidR="00206D34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rozpoczęciem </w:t>
            </w: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leczenia</w:t>
            </w:r>
            <w:r w:rsidR="00206D34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,</w:t>
            </w:r>
          </w:p>
          <w:p w14:paraId="369C1F9D" w14:textId="2E7F1B23" w:rsidR="00197E88" w:rsidRPr="004702A3" w:rsidRDefault="00197E88" w:rsidP="00881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z nieobecnością przeciwwskazań do stosowania określonych w Charakterystyce Produktu Leczniczeg</w:t>
            </w:r>
            <w:r w:rsidR="00272D38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o</w:t>
            </w:r>
            <w:r w:rsidR="00206D34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,</w:t>
            </w:r>
          </w:p>
          <w:p w14:paraId="50EA31C9" w14:textId="62CD446F" w:rsidR="00197E88" w:rsidRPr="004702A3" w:rsidRDefault="00197E88" w:rsidP="00881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z wykluczeniem jednoczesnego stosowania chemioterapii oraz innych leków ukierunkowanych molekularnie</w:t>
            </w:r>
            <w:r w:rsidR="00206D34" w:rsidRPr="004702A3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.</w:t>
            </w:r>
          </w:p>
          <w:p w14:paraId="3C5130C5" w14:textId="1EAAA8E7" w:rsidR="00C16E0E" w:rsidRPr="00A9224C" w:rsidRDefault="00A9224C" w:rsidP="00881069">
            <w:pPr>
              <w:autoSpaceDE w:val="0"/>
              <w:autoSpaceDN w:val="0"/>
              <w:adjustRightInd w:val="0"/>
              <w:spacing w:after="80"/>
              <w:jc w:val="both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>Kryteria wskazane w p</w:t>
            </w:r>
            <w:r w:rsidR="009A5D3D" w:rsidRPr="004702A3">
              <w:rPr>
                <w:i/>
                <w:iCs/>
                <w:color w:val="000000" w:themeColor="text1"/>
                <w:sz w:val="18"/>
                <w:szCs w:val="18"/>
              </w:rPr>
              <w:t xml:space="preserve">unktach </w:t>
            </w:r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>a,</w:t>
            </w:r>
            <w:r w:rsidR="00036EB2" w:rsidRPr="004702A3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>b,</w:t>
            </w:r>
            <w:r w:rsidR="00036EB2" w:rsidRPr="004702A3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>c</w:t>
            </w:r>
            <w:r w:rsidR="00197E88" w:rsidRPr="004702A3">
              <w:rPr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>d</w:t>
            </w:r>
            <w:r w:rsidR="00197E88" w:rsidRPr="004702A3">
              <w:rPr>
                <w:i/>
                <w:iCs/>
                <w:color w:val="000000" w:themeColor="text1"/>
                <w:sz w:val="18"/>
                <w:szCs w:val="18"/>
              </w:rPr>
              <w:t>, e, f, g oraz h</w:t>
            </w:r>
            <w:r w:rsidRPr="004702A3">
              <w:rPr>
                <w:i/>
                <w:iCs/>
                <w:color w:val="000000" w:themeColor="text1"/>
                <w:sz w:val="18"/>
                <w:szCs w:val="18"/>
              </w:rPr>
              <w:t xml:space="preserve"> muszą być spełnione łącznie.</w:t>
            </w:r>
          </w:p>
        </w:tc>
      </w:tr>
    </w:tbl>
    <w:p w14:paraId="6A6FC6BF" w14:textId="77777777" w:rsidR="00C16E0E" w:rsidRPr="00881069" w:rsidRDefault="00C16E0E" w:rsidP="004702A3">
      <w:pPr>
        <w:rPr>
          <w:sz w:val="8"/>
          <w:szCs w:val="8"/>
        </w:rPr>
      </w:pPr>
    </w:p>
    <w:sectPr w:rsidR="00C16E0E" w:rsidRPr="00881069" w:rsidSect="0043452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91C43"/>
    <w:multiLevelType w:val="multilevel"/>
    <w:tmpl w:val="D830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A1CE3"/>
    <w:multiLevelType w:val="hybridMultilevel"/>
    <w:tmpl w:val="DA4E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A11B7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F7128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7282A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35152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95F7D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95FA0"/>
    <w:multiLevelType w:val="hybridMultilevel"/>
    <w:tmpl w:val="98EC44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E42559"/>
    <w:multiLevelType w:val="hybridMultilevel"/>
    <w:tmpl w:val="E44AAB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BF7556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85C36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1D4"/>
    <w:rsid w:val="00036EB2"/>
    <w:rsid w:val="00065A69"/>
    <w:rsid w:val="000B2F9C"/>
    <w:rsid w:val="00175813"/>
    <w:rsid w:val="00197E88"/>
    <w:rsid w:val="00206D34"/>
    <w:rsid w:val="002451E6"/>
    <w:rsid w:val="002650AD"/>
    <w:rsid w:val="00272D38"/>
    <w:rsid w:val="002A34BD"/>
    <w:rsid w:val="002E25F6"/>
    <w:rsid w:val="0043452B"/>
    <w:rsid w:val="004702A3"/>
    <w:rsid w:val="00526EC0"/>
    <w:rsid w:val="00601062"/>
    <w:rsid w:val="00607765"/>
    <w:rsid w:val="00646691"/>
    <w:rsid w:val="007117B4"/>
    <w:rsid w:val="007B23F5"/>
    <w:rsid w:val="007F6EAC"/>
    <w:rsid w:val="00881069"/>
    <w:rsid w:val="008E29FD"/>
    <w:rsid w:val="00903FDD"/>
    <w:rsid w:val="00961EAA"/>
    <w:rsid w:val="009A5D3D"/>
    <w:rsid w:val="00A20371"/>
    <w:rsid w:val="00A851D4"/>
    <w:rsid w:val="00A90017"/>
    <w:rsid w:val="00A9224C"/>
    <w:rsid w:val="00AD4FD2"/>
    <w:rsid w:val="00AF0058"/>
    <w:rsid w:val="00B31359"/>
    <w:rsid w:val="00B421DF"/>
    <w:rsid w:val="00C16E0E"/>
    <w:rsid w:val="00C24D89"/>
    <w:rsid w:val="00CD6D30"/>
    <w:rsid w:val="00D3319F"/>
    <w:rsid w:val="00ED2F1F"/>
    <w:rsid w:val="00F446AD"/>
    <w:rsid w:val="00F764F4"/>
    <w:rsid w:val="00FC28A6"/>
    <w:rsid w:val="00FC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DAA6F"/>
  <w15:chartTrackingRefBased/>
  <w15:docId w15:val="{CEBDAAD3-258C-47AD-979D-C917F2BF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03FDD"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C16E0E"/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rsid w:val="00C16E0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AF0058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426E7-BDF4-409D-84D4-D6AD5BB2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318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Bonek Przemysław</dc:creator>
  <cp:keywords/>
  <cp:lastModifiedBy>Królak-Buzakowska Joanna</cp:lastModifiedBy>
  <cp:revision>3</cp:revision>
  <cp:lastPrinted>2015-10-28T11:06:00Z</cp:lastPrinted>
  <dcterms:created xsi:type="dcterms:W3CDTF">2020-11-13T14:51:00Z</dcterms:created>
  <dcterms:modified xsi:type="dcterms:W3CDTF">2020-11-13T14:52:00Z</dcterms:modified>
</cp:coreProperties>
</file>